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12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Style w:val="12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2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ПРИПРЕМА ЗА ЧАС</w:t>
      </w:r>
    </w:p>
    <w:tbl>
      <w:tblPr>
        <w:tblStyle w:val="6"/>
        <w:tblW w:w="48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  <w:gridCol w:w="5431"/>
        <w:gridCol w:w="2196"/>
        <w:gridCol w:w="557"/>
        <w:gridCol w:w="1339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1. Школа</w:t>
            </w:r>
          </w:p>
        </w:tc>
        <w:tc>
          <w:tcPr>
            <w:tcW w:w="19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о.ш.” Ђура Јакшић”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Место</w:t>
            </w:r>
          </w:p>
        </w:tc>
        <w:tc>
          <w:tcPr>
            <w:tcW w:w="116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Равни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2. Наставник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(име и презиме)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Светлана</w:t>
            </w:r>
            <w:r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Буквић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3. Предмет:</w:t>
            </w:r>
          </w:p>
        </w:tc>
        <w:tc>
          <w:tcPr>
            <w:tcW w:w="294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Хемија</w:t>
            </w:r>
          </w:p>
        </w:tc>
        <w:tc>
          <w:tcPr>
            <w:tcW w:w="481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Разред</w:t>
            </w: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vertAlign w:val="subscript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eastAsia="Arial" w:cs="Times New Roman" w:asciiTheme="majorHAnsi" w:hAnsiTheme="majorHAnsi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седми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4. Наставна тема - модул: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Times New Roman"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eastAsia="Times New Roman"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Молекули елемената и једињења,јони и јонска једињења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5. Наставна јединица: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Times New Roman"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Times New Roman"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Валенца</w:t>
            </w:r>
            <w:r>
              <w:rPr>
                <w:rFonts w:hint="default" w:eastAsia="Times New Roman"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. Хемијске формуле и називи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6. Циљ наставне јединице: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Times New Roman" w:cs="Times New Roman" w:asciiTheme="majorHAnsi" w:hAnsiTheme="majorHAnsi"/>
                <w:b/>
                <w:bCs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eastAsia="Times New Roman" w:cs="Times New Roman" w:asciiTheme="majorHAnsi" w:hAnsiTheme="majorHAnsi"/>
                <w:b/>
                <w:bCs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Стицање основних знања о валенци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7. Очекивани исходи: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54" w:line="240" w:lineRule="auto"/>
              <w:ind w:left="144"/>
              <w:rPr>
                <w:rFonts w:hAnsi="Times New Roman" w:eastAsia="Times New Roman" w:cs="Times New Roman" w:asciiTheme="majorAscii"/>
                <w:color w:val="1F1E21"/>
                <w:sz w:val="22"/>
                <w:szCs w:val="22"/>
              </w:rPr>
            </w:pPr>
            <w:r>
              <w:rPr>
                <w:rFonts w:hAnsi="Times New Roman" w:eastAsia="Times New Roman" w:cs="Times New Roman" w:asciiTheme="majorAscii"/>
                <w:sz w:val="22"/>
                <w:szCs w:val="22"/>
              </w:rPr>
              <w:t xml:space="preserve">На </w:t>
            </w:r>
            <w:r>
              <w:rPr>
                <w:rFonts w:hAnsi="Times New Roman" w:eastAsia="Times New Roman" w:cs="Times New Roman" w:asciiTheme="majorAscii"/>
                <w:b/>
                <w:sz w:val="22"/>
                <w:szCs w:val="22"/>
              </w:rPr>
              <w:t>крају часа</w:t>
            </w:r>
            <w:r>
              <w:rPr>
                <w:rFonts w:hAnsi="Times New Roman" w:eastAsia="Times New Roman" w:cs="Times New Roman" w:asciiTheme="majorAscii"/>
                <w:sz w:val="22"/>
                <w:szCs w:val="22"/>
              </w:rPr>
              <w:t xml:space="preserve"> ученик ће бити у стању</w:t>
            </w:r>
            <w:r>
              <w:rPr>
                <w:rFonts w:hAnsi="Times New Roman" w:eastAsia="Times New Roman" w:cs="Times New Roman" w:asciiTheme="majorAscii"/>
                <w:color w:val="1F1E21"/>
                <w:sz w:val="22"/>
                <w:szCs w:val="22"/>
              </w:rPr>
              <w:t xml:space="preserve"> да:</w:t>
            </w:r>
          </w:p>
          <w:p>
            <w:pPr>
              <w:pStyle w:val="7"/>
              <w:numPr>
                <w:ilvl w:val="0"/>
                <w:numId w:val="1"/>
              </w:numPr>
              <w:rPr>
                <w:rFonts w:hAnsi="Times New Roman" w:cs="Times New Roman" w:asciiTheme="majorAscii"/>
                <w:sz w:val="22"/>
                <w:szCs w:val="22"/>
              </w:rPr>
            </w:pPr>
            <w:r>
              <w:rPr>
                <w:rFonts w:hAnsi="Times New Roman" w:cs="Times New Roman" w:asciiTheme="majorAscii"/>
                <w:sz w:val="22"/>
                <w:szCs w:val="22"/>
                <w:lang w:val="sr-Cyrl-RS"/>
              </w:rPr>
              <w:t>Дефинише</w:t>
            </w:r>
            <w:r>
              <w:rPr>
                <w:rFonts w:hint="default" w:hAnsi="Times New Roman" w:cs="Times New Roman" w:asciiTheme="majorAscii"/>
                <w:sz w:val="22"/>
                <w:szCs w:val="22"/>
                <w:lang w:val="sr-Cyrl-RS"/>
              </w:rPr>
              <w:t xml:space="preserve"> појам валенце елемената</w:t>
            </w:r>
            <w:r>
              <w:rPr>
                <w:rFonts w:hAnsi="Times New Roman" w:cs="Times New Roman" w:asciiTheme="majorAscii"/>
                <w:sz w:val="22"/>
                <w:szCs w:val="22"/>
              </w:rPr>
              <w:t>;</w:t>
            </w:r>
          </w:p>
          <w:p>
            <w:pPr>
              <w:pStyle w:val="7"/>
              <w:numPr>
                <w:ilvl w:val="0"/>
                <w:numId w:val="1"/>
              </w:numPr>
              <w:rPr>
                <w:rFonts w:hAnsi="Times New Roman" w:cs="Times New Roman" w:asciiTheme="majorAscii"/>
                <w:sz w:val="22"/>
                <w:szCs w:val="22"/>
              </w:rPr>
            </w:pPr>
            <w:r>
              <w:rPr>
                <w:rFonts w:hAnsi="Times New Roman" w:cs="Times New Roman" w:asciiTheme="majorAscii"/>
                <w:sz w:val="22"/>
                <w:szCs w:val="22"/>
              </w:rPr>
              <w:t>састави формуле молекула на основу валенце;</w:t>
            </w:r>
          </w:p>
          <w:p>
            <w:pPr>
              <w:pStyle w:val="7"/>
              <w:numPr>
                <w:ilvl w:val="0"/>
                <w:numId w:val="1"/>
              </w:numPr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Ansi="Times New Roman" w:cs="Times New Roman" w:asciiTheme="majorAscii"/>
                <w:sz w:val="22"/>
                <w:szCs w:val="22"/>
                <w:lang w:val="sr-Cyrl-RS"/>
              </w:rPr>
              <w:t>Одреди</w:t>
            </w:r>
            <w:r>
              <w:rPr>
                <w:rFonts w:hint="default" w:hAnsi="Times New Roman" w:cs="Times New Roman" w:asciiTheme="majorAscii"/>
                <w:sz w:val="22"/>
                <w:szCs w:val="22"/>
                <w:lang w:val="sr-Cyrl-RS"/>
              </w:rPr>
              <w:t xml:space="preserve"> валенцу елемената на основу формуле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8. Методе рада: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Монолошка</w:t>
            </w:r>
            <w:r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,дијалошка,демонстрациона,илустрациона,рад на тексту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9. Облици рада: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Фронтални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Рачунар</w:t>
            </w:r>
            <w:r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,пројектор</w:t>
            </w:r>
          </w:p>
          <w:p>
            <w:pPr>
              <w:spacing w:after="0" w:line="240" w:lineRule="auto"/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ПСЕ, модели атома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i w:val="0"/>
                <w:iCs/>
                <w:sz w:val="24"/>
                <w:szCs w:val="24"/>
                <w:lang w:val="sr-Cyrl-RS"/>
              </w:rPr>
              <w:t>Хемија 7, уџбеник за седми разред основне школе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, Издавачка кућа Нови Логос, Београд 2020.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eastAsia="Calibri" w:cs="Times New Roman"/>
                <w:i w:val="0"/>
                <w:iCs/>
                <w:sz w:val="24"/>
                <w:szCs w:val="24"/>
                <w:lang w:val="sr-Cyrl-RS"/>
              </w:rPr>
              <w:t>Хемија 7, дигитални уџбеник за седми разред основне школе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, Издавачка кућа Нови Логос,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 w:cs="Times New Roman"/>
                <w:i w:val="0"/>
                <w:iCs/>
                <w:sz w:val="24"/>
                <w:szCs w:val="24"/>
                <w:lang w:val="sr-Cyrl-RS"/>
              </w:rPr>
              <w:t>Хемија 7, л</w:t>
            </w:r>
            <w:r>
              <w:rPr>
                <w:rFonts w:ascii="Times New Roman" w:hAnsi="Times New Roman" w:eastAsia="Calibri" w:cs="Times New Roman"/>
                <w:bCs/>
                <w:i w:val="0"/>
                <w:iCs/>
                <w:sz w:val="24"/>
                <w:szCs w:val="24"/>
                <w:lang w:val="sr-Cyrl-RS" w:eastAsia="en-GB"/>
              </w:rPr>
              <w:t>абораторијске вежбе са задацима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yrl-RS" w:eastAsia="en-GB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Издавачка кућа Нови Логос, Београд 2020.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  <w:lang w:val="sr-Cyrl-RS" w:eastAsia="en-GB"/>
              </w:rPr>
              <w:t>Хемија 7, з</w:t>
            </w:r>
            <w:r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  <w:lang w:eastAsia="en-GB"/>
              </w:rPr>
              <w:t>бирка задатака за додатна вежбања и за оне који желе да знају више,</w:t>
            </w:r>
          </w:p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  <w:lang w:val="sr-Cyrl-RS" w:eastAsia="en-GB"/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95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Планиране активности наставника</w:t>
            </w:r>
          </w:p>
        </w:tc>
        <w:tc>
          <w:tcPr>
            <w:tcW w:w="195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Планиране активности ученика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12.1. Уводни део часа 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95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ити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израд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домаћег задатка.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ученицима задатак да напишу у свескама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структурне формуле молекула хлороводоника, воде, амонијака и метана.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ци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треба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да преброје колико веза у датим примерима граде атоми водоника, кисеоника, угљеника и азота.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аћи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циљ часа.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95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Arial" w:cs="Times New Roman"/>
                <w:bCs/>
                <w:kern w:val="24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резентују резултете домаћег рада;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лушају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аде задатак.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12.2. Средишњи део часа</w:t>
            </w:r>
          </w:p>
        </w:tc>
        <w:tc>
          <w:tcPr>
            <w:tcW w:w="1951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5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Дефинише појам валенце, како се обележава и које бројне вредности може имати.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Објашњава везу између броја валентних електрона и положаја у Периодном систему елемената.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Наводи елементе који имају сталну валенцу.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Наводи елементе који имају променљиву валенцу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Објашњава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који се начин на основу хемијске формуле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може одредити валенца елемента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,уз примере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Објашњава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који се начин може саставити формула једињења 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 валенци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,уз примере.</w:t>
            </w:r>
          </w:p>
          <w:p>
            <w:pPr>
              <w:spacing w:after="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*Наставник за све ове појмове,задатке, примере и друго    користи презентацију,уз њу ПСЕ, моделе атома.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956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лушају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 xml:space="preserve"> п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осматрају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ишу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аде задатак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br w:type="textWrapping"/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зводе закључке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 w:eastAsiaTheme="minorHAnsi"/>
                <w:sz w:val="24"/>
                <w:szCs w:val="24"/>
                <w:lang w:val="sr-Cyrl-RS" w:eastAsia="en-US" w:bidi="ar-SA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- анализирају фотографије и симулацију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12.3. Завршни део часа</w:t>
            </w:r>
          </w:p>
        </w:tc>
        <w:tc>
          <w:tcPr>
            <w:tcW w:w="1951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sr-Cyrl-RS"/>
              </w:rPr>
              <w:t xml:space="preserve">* Наставник на крају часа даје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евалуциони лист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који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sr-Cyrl-RS"/>
              </w:rPr>
              <w:t xml:space="preserve"> је такође у склопу презентације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ученицима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којим долази до закључка о нивоу усвојености градива.</w:t>
            </w:r>
          </w:p>
          <w:p>
            <w:pPr>
              <w:spacing w:after="50" w:line="240" w:lineRule="auto"/>
              <w:rPr>
                <w:rFonts w:ascii="Times New Roman" w:hAnsi="Times New Roman" w:eastAsia="Times New Roman" w:cs="Times New Roman"/>
                <w:color w:val="1F1E21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1F1E21"/>
                <w:sz w:val="24"/>
                <w:szCs w:val="24"/>
                <w:lang w:val="sr-Cyrl-RS"/>
              </w:rPr>
              <w:t>*</w:t>
            </w:r>
            <w:r>
              <w:rPr>
                <w:rFonts w:ascii="Times New Roman" w:hAnsi="Times New Roman" w:eastAsia="Times New Roman" w:cs="Times New Roman"/>
                <w:color w:val="1F1E21"/>
                <w:sz w:val="24"/>
                <w:szCs w:val="24"/>
                <w:lang w:val="sr-Cyrl-RS"/>
              </w:rPr>
              <w:t>У истом циљу се могу искористити задаци за усмено преслишавање најважнијих појмова, дати на крају лекције</w:t>
            </w:r>
            <w:r>
              <w:rPr>
                <w:rFonts w:ascii="Times New Roman" w:hAnsi="Times New Roman" w:eastAsia="Times New Roman" w:cs="Times New Roman"/>
                <w:color w:val="1F1E21"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 w:eastAsia="Calibri" w:cs="Times New Roman"/>
                <w:sz w:val="24"/>
                <w:szCs w:val="24"/>
                <w:lang w:val="sr-Cyrl-RS" w:eastAsia="en-US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Задаје домаћи задатак ученицима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. Ученици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 желе да знају више могу да ураде задатке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задатака за додатна вежбања.</w:t>
            </w:r>
          </w:p>
        </w:tc>
        <w:tc>
          <w:tcPr>
            <w:tcW w:w="1956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дговарају на питањa са евалуационог листића</w:t>
            </w: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  <w:t>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13. Линкови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презентацији уколико је она урађена у онлајн алату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дигиталном образовном садржају уколико је доступан на интернету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7" w:type="pct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object>
                <v:shape id="_x0000_i1025" o:spt="75" type="#_x0000_t75" style="height:270.75pt;width:360.75pt;" o:ole="t" filled="f" o:preferrelative="t" stroked="f" coordsize="21600,21600"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PowerPoint.Show.8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404040" w:themeColor="text1" w:themeTint="BF"/>
                <w:sz w:val="24"/>
                <w:szCs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sz w:val="24"/>
                <w:szCs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14. Начини провере остварености исхода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- Посматрање ангажовања ученика на часу.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- Провера тачности ученичких одговора.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  <w:lang w:val="sr-Cyrl-RS" w:eastAsia="en-US" w:bidi="ar-SA"/>
              </w:rPr>
            </w:pPr>
            <w:r>
              <w:rPr>
                <w:rFonts w:ascii="Times New Roman" w:hAnsi="Times New Roman" w:eastAsia="Arial" w:cs="Times New Roman"/>
                <w:bCs/>
                <w:kern w:val="24"/>
                <w:sz w:val="24"/>
                <w:szCs w:val="24"/>
              </w:rPr>
              <w:t>- Анализа одговора ученика на евалуационом листу.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Calibri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15. Оквир за преиспитивање оствареног часа: 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планирани начини провере остварености исхода;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избор активности;</w:t>
            </w:r>
          </w:p>
          <w:p>
            <w:pPr>
              <w:numPr>
                <w:ilvl w:val="0"/>
                <w:numId w:val="3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7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7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7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7"/>
              <w:spacing w:after="0" w:line="240" w:lineRule="auto"/>
              <w:ind w:left="7"/>
              <w:rPr>
                <w:rFonts w:hint="default"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5"/>
              </w:tabs>
              <w:spacing w:after="0" w:line="240" w:lineRule="auto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3907" w:type="pct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7"/>
              <w:spacing w:after="0" w:line="240" w:lineRule="auto"/>
              <w:ind w:left="7"/>
              <w:rPr>
                <w:rFonts w:hint="default"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Компетенција за учење,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решавање проблема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5"/>
              </w:tabs>
              <w:spacing w:after="0" w:line="240" w:lineRule="auto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Међупредметно повезивање:</w:t>
            </w:r>
          </w:p>
        </w:tc>
        <w:tc>
          <w:tcPr>
            <w:tcW w:w="3907" w:type="pct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7"/>
              <w:spacing w:after="0" w:line="240" w:lineRule="auto"/>
              <w:ind w:left="7"/>
              <w:rPr>
                <w:rFonts w:hint="default"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9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5"/>
              </w:tabs>
              <w:spacing w:after="0" w:line="240" w:lineRule="auto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Кључни појмови:</w:t>
            </w:r>
          </w:p>
        </w:tc>
        <w:tc>
          <w:tcPr>
            <w:tcW w:w="3907" w:type="pct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7"/>
              <w:spacing w:after="0" w:line="240" w:lineRule="auto"/>
              <w:ind w:left="7"/>
              <w:rPr>
                <w:rFonts w:hint="default"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Хемијске формуле, електронске, структурне и молекулске формуле, формулске јединке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nil"/>
              <w:right w:val="nil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pStyle w:val="7"/>
              <w:spacing w:after="0" w:line="240" w:lineRule="auto"/>
              <w:ind w:left="7"/>
              <w:rPr>
                <w:rFonts w:hint="default"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 https://digitalnaucionica.edu.rs/</w:t>
      </w:r>
    </w:p>
    <w:sectPr>
      <w:pgSz w:w="15840" w:h="12240" w:orient="landscape"/>
      <w:pgMar w:top="720" w:right="720" w:bottom="568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BE"/>
    <w:multiLevelType w:val="multilevel"/>
    <w:tmpl w:val="2B3962BE"/>
    <w:lvl w:ilvl="0" w:tentative="0">
      <w:start w:val="1"/>
      <w:numFmt w:val="bullet"/>
      <w:lvlText w:val=""/>
      <w:lvlJc w:val="left"/>
      <w:pPr>
        <w:ind w:left="5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4" w:hanging="360"/>
      </w:pPr>
      <w:rPr>
        <w:rFonts w:hint="default" w:ascii="Wingdings" w:hAnsi="Wingdings"/>
      </w:rPr>
    </w:lvl>
  </w:abstractNum>
  <w:abstractNum w:abstractNumId="1">
    <w:nsid w:val="3BE02F37"/>
    <w:multiLevelType w:val="multilevel"/>
    <w:tmpl w:val="3BE02F3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9E4023A"/>
    <w:multiLevelType w:val="multilevel"/>
    <w:tmpl w:val="49E4023A"/>
    <w:lvl w:ilvl="0" w:tentative="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156C7D"/>
    <w:rsid w:val="00234541"/>
    <w:rsid w:val="002744D3"/>
    <w:rsid w:val="002839AC"/>
    <w:rsid w:val="002F238A"/>
    <w:rsid w:val="00410C13"/>
    <w:rsid w:val="00414BA7"/>
    <w:rsid w:val="00417598"/>
    <w:rsid w:val="00521A3B"/>
    <w:rsid w:val="005E75D9"/>
    <w:rsid w:val="00661A4C"/>
    <w:rsid w:val="006811B3"/>
    <w:rsid w:val="006D10D4"/>
    <w:rsid w:val="00712937"/>
    <w:rsid w:val="007C6988"/>
    <w:rsid w:val="007E6494"/>
    <w:rsid w:val="00807F41"/>
    <w:rsid w:val="00963695"/>
    <w:rsid w:val="0098147B"/>
    <w:rsid w:val="00A71A9A"/>
    <w:rsid w:val="00A80090"/>
    <w:rsid w:val="00B0264A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  <w:rsid w:val="092E5FE6"/>
    <w:rsid w:val="0B66562E"/>
    <w:rsid w:val="11710D48"/>
    <w:rsid w:val="15EA67AF"/>
    <w:rsid w:val="1A630117"/>
    <w:rsid w:val="26BD18B6"/>
    <w:rsid w:val="326C630E"/>
    <w:rsid w:val="3614791E"/>
    <w:rsid w:val="430A7A0D"/>
    <w:rsid w:val="43DA02FB"/>
    <w:rsid w:val="456255EB"/>
    <w:rsid w:val="50704310"/>
    <w:rsid w:val="583235F4"/>
    <w:rsid w:val="61CE5369"/>
    <w:rsid w:val="6F9B5D0E"/>
    <w:rsid w:val="70024B89"/>
    <w:rsid w:val="7FD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styleId="8">
    <w:name w:val="Intense Quote"/>
    <w:basedOn w:val="1"/>
    <w:next w:val="1"/>
    <w:link w:val="9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9">
    <w:name w:val="Intense Quote Char"/>
    <w:basedOn w:val="5"/>
    <w:link w:val="8"/>
    <w:qFormat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0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1">
    <w:name w:val="Heading 2 Char"/>
    <w:basedOn w:val="5"/>
    <w:link w:val="3"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2">
    <w:name w:val="Intense Reference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1625</Characters>
  <Lines>13</Lines>
  <Paragraphs>3</Paragraphs>
  <TotalTime>7</TotalTime>
  <ScaleCrop>false</ScaleCrop>
  <LinksUpToDate>false</LinksUpToDate>
  <CharactersWithSpaces>1906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2019-05-28T10:08:00Z</dcterms:created>
  <dc:creator>Tatjana</dc:creator>
  <cp:lastModifiedBy>hf</cp:lastModifiedBy>
  <dcterms:modified xsi:type="dcterms:W3CDTF">2020-10-15T19:04:35Z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